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AB62" w14:textId="77777777" w:rsidR="007C6088" w:rsidRPr="00DF5666" w:rsidRDefault="007C6088">
      <w:pPr>
        <w:pStyle w:val="ConsPlusNormal"/>
        <w:ind w:firstLine="540"/>
        <w:jc w:val="both"/>
      </w:pPr>
    </w:p>
    <w:p w14:paraId="7FEFAF8E" w14:textId="77777777" w:rsidR="007C6088" w:rsidRPr="00DF5666" w:rsidRDefault="00F9503F">
      <w:pPr>
        <w:pStyle w:val="ConsPlusNormal"/>
        <w:jc w:val="right"/>
        <w:outlineLvl w:val="0"/>
      </w:pPr>
      <w:r w:rsidRPr="00DF5666">
        <w:t>Утверждены</w:t>
      </w:r>
    </w:p>
    <w:p w14:paraId="292EDC70" w14:textId="77777777" w:rsidR="007C6088" w:rsidRPr="00DF5666" w:rsidRDefault="00F9503F">
      <w:pPr>
        <w:pStyle w:val="ConsPlusNormal"/>
        <w:jc w:val="right"/>
      </w:pPr>
      <w:r w:rsidRPr="00DF5666">
        <w:t>Решением Коллегии</w:t>
      </w:r>
    </w:p>
    <w:p w14:paraId="05CB864A" w14:textId="77777777" w:rsidR="007C6088" w:rsidRPr="00DF5666" w:rsidRDefault="00F9503F">
      <w:pPr>
        <w:pStyle w:val="ConsPlusNormal"/>
        <w:jc w:val="right"/>
      </w:pPr>
      <w:r w:rsidRPr="00DF5666">
        <w:t>Евразийской экономической комиссии</w:t>
      </w:r>
    </w:p>
    <w:p w14:paraId="6BEB70F0" w14:textId="77777777" w:rsidR="007C6088" w:rsidRPr="00DF5666" w:rsidRDefault="00F9503F">
      <w:pPr>
        <w:pStyle w:val="ConsPlusNormal"/>
        <w:jc w:val="right"/>
      </w:pPr>
      <w:r w:rsidRPr="00DF5666">
        <w:t>от 16 мая 2012 г. N 45</w:t>
      </w:r>
    </w:p>
    <w:p w14:paraId="42589FE6" w14:textId="77777777" w:rsidR="007C6088" w:rsidRPr="00DF5666" w:rsidRDefault="007C6088">
      <w:pPr>
        <w:pStyle w:val="ConsPlusNormal"/>
        <w:ind w:firstLine="540"/>
        <w:jc w:val="both"/>
      </w:pPr>
    </w:p>
    <w:p w14:paraId="5CFB0602" w14:textId="77777777" w:rsidR="007C6088" w:rsidRPr="00DF5666" w:rsidRDefault="00F9503F">
      <w:pPr>
        <w:pStyle w:val="ConsPlusTitle"/>
        <w:jc w:val="center"/>
      </w:pPr>
      <w:bookmarkStart w:id="0" w:name="Par115"/>
      <w:bookmarkEnd w:id="0"/>
      <w:r w:rsidRPr="00DF5666">
        <w:t>МЕТОДИЧЕСКИЕ УКАЗАНИЯ</w:t>
      </w:r>
    </w:p>
    <w:p w14:paraId="25225132" w14:textId="77777777" w:rsidR="007C6088" w:rsidRPr="00DF5666" w:rsidRDefault="00F9503F">
      <w:pPr>
        <w:pStyle w:val="ConsPlusTitle"/>
        <w:jc w:val="center"/>
      </w:pPr>
      <w:r w:rsidRPr="00DF5666">
        <w:t>ПО ЗАПОЛНЕНИЮ ЕДИНОЙ ФОРМЫ ЗАКЛЮЧЕНИЯ</w:t>
      </w:r>
    </w:p>
    <w:p w14:paraId="3091B62B" w14:textId="77777777" w:rsidR="007C6088" w:rsidRPr="00DF5666" w:rsidRDefault="00F9503F">
      <w:pPr>
        <w:pStyle w:val="ConsPlusTitle"/>
        <w:jc w:val="center"/>
      </w:pPr>
      <w:r w:rsidRPr="00DF5666">
        <w:t>(РАЗРЕШИТЕЛЬНОГО ДОКУМЕНТА) НА ВВОЗ, ВЫВОЗ И ТРАНЗИТ</w:t>
      </w:r>
    </w:p>
    <w:p w14:paraId="610662A4" w14:textId="77777777" w:rsidR="007C6088" w:rsidRPr="00DF5666" w:rsidRDefault="00F9503F">
      <w:pPr>
        <w:pStyle w:val="ConsPlusTitle"/>
        <w:jc w:val="center"/>
      </w:pPr>
      <w:r w:rsidRPr="00DF5666">
        <w:t>ОТДЕЛЬНЫХ ТОВАРОВ, ВКЛЮЧЕННЫХ В ЕДИНЫЙ ПЕРЕЧЕНЬ ТОВАРОВ,</w:t>
      </w:r>
    </w:p>
    <w:p w14:paraId="4D03114F" w14:textId="77777777" w:rsidR="007C6088" w:rsidRPr="00DF5666" w:rsidRDefault="00F9503F">
      <w:pPr>
        <w:pStyle w:val="ConsPlusTitle"/>
        <w:jc w:val="center"/>
      </w:pPr>
      <w:r w:rsidRPr="00DF5666">
        <w:t>К КОТОРЫМ ПРИМЕНЯЮТСЯ МЕРЫ НЕТАРИФНОГО РЕГУЛИРОВАНИЯ</w:t>
      </w:r>
    </w:p>
    <w:p w14:paraId="09BBD47A" w14:textId="77777777" w:rsidR="007C6088" w:rsidRPr="00DF5666" w:rsidRDefault="00F9503F">
      <w:pPr>
        <w:pStyle w:val="ConsPlusTitle"/>
        <w:jc w:val="center"/>
      </w:pPr>
      <w:r w:rsidRPr="00DF5666">
        <w:t>В ТОРГОВЛЕ С ТРЕТЬИМИ СТРАНАМИ</w:t>
      </w:r>
    </w:p>
    <w:p w14:paraId="05D2F875" w14:textId="77777777" w:rsidR="007C6088" w:rsidRPr="00DF5666" w:rsidRDefault="007C6088">
      <w:pPr>
        <w:pStyle w:val="ConsPlusNormal"/>
        <w:rPr>
          <w:sz w:val="24"/>
          <w:szCs w:val="24"/>
        </w:rPr>
      </w:pPr>
    </w:p>
    <w:p w14:paraId="09925375" w14:textId="77777777" w:rsidR="007C6088" w:rsidRPr="00DF5666" w:rsidRDefault="007C6088">
      <w:pPr>
        <w:pStyle w:val="ConsPlusNormal"/>
        <w:ind w:firstLine="540"/>
        <w:jc w:val="both"/>
      </w:pPr>
    </w:p>
    <w:p w14:paraId="4D9876C3" w14:textId="29EFCDDF" w:rsidR="007C6088" w:rsidRPr="00DF5666" w:rsidRDefault="00F9503F">
      <w:pPr>
        <w:pStyle w:val="ConsPlusNormal"/>
        <w:ind w:firstLine="540"/>
        <w:jc w:val="both"/>
      </w:pPr>
      <w:r w:rsidRPr="00DF5666">
        <w:t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14:paraId="6D10E6B6" w14:textId="7B5E049E" w:rsidR="007C6088" w:rsidRPr="00DF5666" w:rsidRDefault="00F9503F">
      <w:pPr>
        <w:pStyle w:val="ConsPlusNormal"/>
        <w:jc w:val="both"/>
      </w:pPr>
      <w:r w:rsidRPr="00DF5666">
        <w:t>(п. 1 в ред. решения Коллегии Евразийской экономической комиссии от 04.09.2017 N 114)</w:t>
      </w:r>
    </w:p>
    <w:p w14:paraId="3C6FC615" w14:textId="720B4FBF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2. Заключение (разрешительный документ) выдается на товар, классифицируемый одним кодом единой Товарной номенклатуры внешнеэкономической деятельности Евразийского экономического союза (ТН ВЭД ЕАЭС), в зависимости от уровня детализации в соответствии с единым перечнем.</w:t>
      </w:r>
    </w:p>
    <w:p w14:paraId="270EF81C" w14:textId="6167512C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045113E8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3. Внесение изменений в заключение (разрешительный документ) не допускается.</w:t>
      </w:r>
    </w:p>
    <w:p w14:paraId="35755491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14:paraId="713A1BBC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14:paraId="5D46EC10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6. Строки, помеченные символом &lt;*&gt;, заполняются с учетом требований к категориям перемещаемых товаров.</w:t>
      </w:r>
    </w:p>
    <w:p w14:paraId="04DB09E4" w14:textId="01E16FEE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7. Название стран назначения, отправления, транзита указывается в соответствии с классификатором стран мира, применяемым в соответствии с Решением Комиссии Таможенного союза от 20 сентября 2010 года N 378.</w:t>
      </w:r>
    </w:p>
    <w:p w14:paraId="62172EC4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14:paraId="2E6A0539" w14:textId="41448E95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34572463" w14:textId="5DF36C10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9. В соответствующей строке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14:paraId="0E1BCB26" w14:textId="35B77269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10. В строке "Выдано" указываются сведения о заявителе:</w:t>
      </w:r>
    </w:p>
    <w:p w14:paraId="5B4D3AD5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 xml:space="preserve"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</w:t>
      </w:r>
      <w:r w:rsidRPr="00DF5666">
        <w:lastRenderedPageBreak/>
        <w:t>плательщика (УНП), для лиц Республики Казахстан - бизнес-идентификационный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14:paraId="3CD6E8E7" w14:textId="059761C3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1BB1B27F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14:paraId="0B197E0B" w14:textId="5775BA94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6C051F8B" w14:textId="1D89DFE6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11. В строке "Вид перемещения" указывается вид перемещения товара: ввоз, вывоз, временный ввоз, временный вывоз, транзит.</w:t>
      </w:r>
    </w:p>
    <w:p w14:paraId="1B981681" w14:textId="23057FF4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12. В строке "Раздел единого перечня" указывается числовое значение раздела единого перечня.</w:t>
      </w:r>
    </w:p>
    <w:p w14:paraId="34A401D8" w14:textId="38A54F68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12E7910A" w14:textId="53C2A819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13. В строке "Код ТН ВЭД ЕАЭС &lt;*&gt;" указывается классификационный код ТН ВЭД ЕАЭС перемещаемого товара.</w:t>
      </w:r>
    </w:p>
    <w:p w14:paraId="58B3F0BE" w14:textId="020B9E90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0A278723" w14:textId="5B6FAE5D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14. В строке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ТН ВЭД ЕАЭС, с указанием его количества в единицах измерения, предусмотренных для данной категории товара.</w:t>
      </w:r>
    </w:p>
    <w:p w14:paraId="29780296" w14:textId="0338123D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7C080928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14:paraId="5B544D79" w14:textId="4E44B72A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16. В строке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строка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14:paraId="4C2D043B" w14:textId="6C216D71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76082D23" w14:textId="2B3E7E85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17. В строке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14:paraId="32B89286" w14:textId="461907B6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18. В строке "Цель ввоза /вывоза" указывается назначение ввоза, вывоза, временного ввоза, временного вывоза товаров.</w:t>
      </w:r>
    </w:p>
    <w:p w14:paraId="6DD9ED6D" w14:textId="3E2BEF2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19. В строке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14:paraId="5C766B21" w14:textId="36809065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20. В строке "Основание" указываются документы, являющиеся основанием для выдачи заключения (разрешительного документа).</w:t>
      </w:r>
    </w:p>
    <w:p w14:paraId="45F8A6A2" w14:textId="0E805473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21. В строке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14:paraId="6F1D5FED" w14:textId="16377AEC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 xml:space="preserve">22. В строке "Страна транзита &lt;*&gt;" указывается название государства-члена, по территории которого </w:t>
      </w:r>
      <w:r w:rsidRPr="00DF5666">
        <w:lastRenderedPageBreak/>
        <w:t>будет осуществляться транзит.</w:t>
      </w:r>
    </w:p>
    <w:p w14:paraId="54F60773" w14:textId="6C6DA15B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7D88A675" w14:textId="452A93D0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23. В строке "Заключение действительно по" указывается дата окончания действия заключения (разрешительного документа).</w:t>
      </w:r>
    </w:p>
    <w:p w14:paraId="7E66D4FB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14:paraId="4A059266" w14:textId="51DFF1C8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52CE3E93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14:paraId="4D438058" w14:textId="318563A8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319F7BDF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14:paraId="4E5FF3ED" w14:textId="68801DCC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521DA3BD" w14:textId="77777777" w:rsidR="007C6088" w:rsidRPr="00DF5666" w:rsidRDefault="00F9503F">
      <w:pPr>
        <w:pStyle w:val="ConsPlusNormal"/>
        <w:spacing w:before="200"/>
        <w:ind w:firstLine="540"/>
        <w:jc w:val="both"/>
      </w:pPr>
      <w:r w:rsidRPr="00DF5666"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14:paraId="561F5EED" w14:textId="2444DDD9" w:rsidR="007C6088" w:rsidRPr="00DF5666" w:rsidRDefault="00F9503F">
      <w:pPr>
        <w:pStyle w:val="ConsPlusNormal"/>
        <w:jc w:val="both"/>
      </w:pPr>
      <w:r w:rsidRPr="00DF5666">
        <w:t>(в ред. решения Коллегии Евразийской экономической комиссии от 04.09.2017 N 114)</w:t>
      </w:r>
    </w:p>
    <w:p w14:paraId="0C899F10" w14:textId="77777777" w:rsidR="007C6088" w:rsidRPr="00DF5666" w:rsidRDefault="007C6088">
      <w:pPr>
        <w:pStyle w:val="ConsPlusNormal"/>
        <w:ind w:firstLine="540"/>
        <w:jc w:val="both"/>
      </w:pPr>
    </w:p>
    <w:p w14:paraId="16A7F10C" w14:textId="77777777" w:rsidR="007C6088" w:rsidRPr="00DF5666" w:rsidRDefault="007C6088">
      <w:pPr>
        <w:pStyle w:val="ConsPlusNormal"/>
        <w:ind w:firstLine="540"/>
        <w:jc w:val="both"/>
      </w:pPr>
    </w:p>
    <w:p w14:paraId="43D710BB" w14:textId="77777777" w:rsidR="007C6088" w:rsidRPr="00DF5666" w:rsidRDefault="007C60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6088" w:rsidRPr="00DF566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C1AC1" w14:textId="77777777" w:rsidR="00A22AFD" w:rsidRDefault="00A22AFD">
      <w:pPr>
        <w:spacing w:after="0" w:line="240" w:lineRule="auto"/>
      </w:pPr>
      <w:r>
        <w:separator/>
      </w:r>
    </w:p>
  </w:endnote>
  <w:endnote w:type="continuationSeparator" w:id="0">
    <w:p w14:paraId="39E7AAF7" w14:textId="77777777" w:rsidR="00A22AFD" w:rsidRDefault="00A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C5BB3" w14:textId="77777777" w:rsidR="007C6088" w:rsidRDefault="007C60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7C6088" w14:paraId="4E4715AF" w14:textId="77777777" w:rsidTr="00EA66CC">
      <w:trPr>
        <w:trHeight w:hRule="exact" w:val="85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46D903" w14:textId="77777777" w:rsidR="007C6088" w:rsidRDefault="007C60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003304" w14:textId="77777777" w:rsidR="007C6088" w:rsidRDefault="007C608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B1DBB8" w14:textId="77777777" w:rsidR="007C6088" w:rsidRDefault="00F9503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DE59D9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DE59D9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817AD86" w14:textId="77777777" w:rsidR="007C6088" w:rsidRDefault="007C60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9751A" w14:textId="77777777" w:rsidR="00A22AFD" w:rsidRDefault="00A22AFD">
      <w:pPr>
        <w:spacing w:after="0" w:line="240" w:lineRule="auto"/>
      </w:pPr>
      <w:r>
        <w:separator/>
      </w:r>
    </w:p>
  </w:footnote>
  <w:footnote w:type="continuationSeparator" w:id="0">
    <w:p w14:paraId="5B7811E6" w14:textId="77777777" w:rsidR="00A22AFD" w:rsidRDefault="00A2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7C6088" w14:paraId="23FEB7D7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035977" w14:textId="77777777" w:rsidR="007C6088" w:rsidRDefault="007C60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8BDF35" w14:textId="77777777" w:rsidR="007C6088" w:rsidRDefault="007C60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7DDF86CC" w14:textId="77777777" w:rsidR="007C6088" w:rsidRDefault="007C60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3433C32" w14:textId="77777777" w:rsidR="007C6088" w:rsidRDefault="00F950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CC"/>
    <w:rsid w:val="007C6088"/>
    <w:rsid w:val="0082193B"/>
    <w:rsid w:val="00862393"/>
    <w:rsid w:val="0087591F"/>
    <w:rsid w:val="00A22AFD"/>
    <w:rsid w:val="00C50010"/>
    <w:rsid w:val="00DE59D9"/>
    <w:rsid w:val="00DF5666"/>
    <w:rsid w:val="00EA66CC"/>
    <w:rsid w:val="00F04D8E"/>
    <w:rsid w:val="00F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7D94B"/>
  <w14:defaultImageDpi w14:val="0"/>
  <w15:docId w15:val="{36A9A8E9-AB85-40B7-AF50-117C9957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A6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6CC"/>
  </w:style>
  <w:style w:type="paragraph" w:styleId="a5">
    <w:name w:val="footer"/>
    <w:basedOn w:val="a"/>
    <w:link w:val="a6"/>
    <w:uiPriority w:val="99"/>
    <w:unhideWhenUsed/>
    <w:rsid w:val="00EA6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7035</Characters>
  <Application>Microsoft Office Word</Application>
  <DocSecurity>2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Коллегии Евразийской экономической комиссии от 16.05.2012 N 45(ред. от 04.09.2017)"О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</vt:lpstr>
    </vt:vector>
  </TitlesOfParts>
  <Company>КонсультантПлюс Версия 4019.00.23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16.05.2012 N 45(ред. от 04.09.2017)"О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</dc:title>
  <dc:subject/>
  <dc:creator>Яруткин Алексей Викторович</dc:creator>
  <cp:keywords/>
  <dc:description/>
  <cp:lastModifiedBy>User</cp:lastModifiedBy>
  <cp:revision>2</cp:revision>
  <dcterms:created xsi:type="dcterms:W3CDTF">2020-08-05T21:36:00Z</dcterms:created>
  <dcterms:modified xsi:type="dcterms:W3CDTF">2020-08-05T21:36:00Z</dcterms:modified>
</cp:coreProperties>
</file>